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20"/>
          <w:szCs w:val="20"/>
        </w:rPr>
      </w:pPr>
      <w:bookmarkStart w:colFirst="0" w:colLast="0" w:name="_heading=h.gjdgxs" w:id="0"/>
      <w:bookmarkEnd w:id="0"/>
      <w:r w:rsidDel="00000000" w:rsidR="00000000" w:rsidRPr="00000000">
        <w:rPr>
          <w:rFonts w:ascii="Arial" w:cs="Arial" w:eastAsia="Arial" w:hAnsi="Arial"/>
          <w:b w:val="1"/>
          <w:sz w:val="36"/>
          <w:szCs w:val="36"/>
          <w:rtl w:val="0"/>
        </w:rPr>
        <w:t xml:space="preserve">Joint Schedule 6 (Key Subcontractors)</w:t>
      </w:r>
      <w:r w:rsidDel="00000000" w:rsidR="00000000" w:rsidRPr="00000000">
        <w:rPr>
          <w:rtl w:val="0"/>
        </w:rPr>
      </w:r>
    </w:p>
    <w:p w:rsidR="00000000" w:rsidDel="00000000" w:rsidP="00000000" w:rsidRDefault="00000000" w:rsidRPr="00000000" w14:paraId="0000000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Restrictions on certain subcontractors</w:t>
      </w:r>
    </w:p>
    <w:p w:rsidR="00000000" w:rsidDel="00000000" w:rsidP="00000000" w:rsidRDefault="00000000" w:rsidRPr="00000000" w14:paraId="00000003">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the DPS Contract to the Key Subcontractors identified on the Platform. </w:t>
      </w:r>
      <w:r w:rsidDel="00000000" w:rsidR="00000000" w:rsidRPr="00000000">
        <w:rPr>
          <w:rtl w:val="0"/>
        </w:rPr>
      </w:r>
    </w:p>
    <w:p w:rsidR="00000000" w:rsidDel="00000000" w:rsidP="00000000" w:rsidRDefault="00000000" w:rsidRPr="00000000" w14:paraId="00000004">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an Order Contract to Key Subcontractors listed on the Platform who are specifically nominated in the Order Form.</w:t>
      </w:r>
      <w:r w:rsidDel="00000000" w:rsidR="00000000" w:rsidRPr="00000000">
        <w:rPr>
          <w:rtl w:val="0"/>
        </w:rPr>
      </w:r>
    </w:p>
    <w:p w:rsidR="00000000" w:rsidDel="00000000" w:rsidP="00000000" w:rsidRDefault="00000000" w:rsidRPr="00000000" w14:paraId="00000005">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the Platform.  Where the Buyer consents to the appointment of a new Key Subcontractor then they will be added to the Key Subcontractor section of the Order Form.  CCS and the Buyer may reasonably withhold their consent to the appointment of a Key Subcontractor if it considers that:</w:t>
      </w:r>
      <w:r w:rsidDel="00000000" w:rsidR="00000000" w:rsidRPr="00000000">
        <w:rPr>
          <w:rtl w:val="0"/>
        </w:rPr>
      </w:r>
    </w:p>
    <w:p w:rsidR="00000000" w:rsidDel="00000000" w:rsidP="00000000" w:rsidRDefault="00000000" w:rsidRPr="00000000" w14:paraId="0000000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appointment of a proposed Key Subcontractor may prejudice the provision of the Deliverables or may be contrary to its interests;</w:t>
      </w:r>
    </w:p>
    <w:p w:rsidR="00000000" w:rsidDel="00000000" w:rsidP="00000000" w:rsidRDefault="00000000" w:rsidRPr="00000000" w14:paraId="0000000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is unreliable and/or has not provided reliable goods and or reasonable services to its other customers; and/or</w:t>
      </w:r>
    </w:p>
    <w:p w:rsidR="00000000" w:rsidDel="00000000" w:rsidP="00000000" w:rsidRDefault="00000000" w:rsidRPr="00000000" w14:paraId="0000000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employs unfit persons.</w:t>
      </w:r>
    </w:p>
    <w:p w:rsidR="00000000" w:rsidDel="00000000" w:rsidP="00000000" w:rsidRDefault="00000000" w:rsidRPr="00000000" w14:paraId="00000009">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CCS and the Buyer with the following information in respect of the proposed Key Subcontractor:</w:t>
      </w:r>
      <w:r w:rsidDel="00000000" w:rsidR="00000000" w:rsidRPr="00000000">
        <w:rPr>
          <w:rtl w:val="0"/>
        </w:rPr>
      </w:r>
    </w:p>
    <w:p w:rsidR="00000000" w:rsidDel="00000000" w:rsidP="00000000" w:rsidRDefault="00000000" w:rsidRPr="00000000" w14:paraId="0000000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Subcontractor’s name, registered office and company registration number;</w:t>
      </w:r>
    </w:p>
    <w:p w:rsidR="00000000" w:rsidDel="00000000" w:rsidP="00000000" w:rsidRDefault="00000000" w:rsidRPr="00000000" w14:paraId="0000000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scope/description of any Deliverables to be provided by the proposed Key Subcontractor; </w:t>
      </w:r>
    </w:p>
    <w:p w:rsidR="00000000" w:rsidDel="00000000" w:rsidP="00000000" w:rsidRDefault="00000000" w:rsidRPr="00000000" w14:paraId="0000000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proposed Key Subcontractor is an Affiliate of the Supplier, evidence that demonstrates to the reasonable satisfaction of the CCS and the Buyer that the proposed Key Sub-Contract has been agreed on "arm’s-length" terms;</w:t>
      </w:r>
    </w:p>
    <w:p w:rsidR="00000000" w:rsidDel="00000000" w:rsidP="00000000" w:rsidRDefault="00000000" w:rsidRPr="00000000" w14:paraId="0000000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CCS, the Key Sub-Contract price expressed as a percentage of the total projected DPS Price over the DPS Contract Period; </w:t>
      </w:r>
    </w:p>
    <w:p w:rsidR="00000000" w:rsidDel="00000000" w:rsidP="00000000" w:rsidRDefault="00000000" w:rsidRPr="00000000" w14:paraId="0000000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Buyer, the Key Sub-Contract price expressed as a percentage of the total projected Charges over the Order Contract Period; and</w:t>
      </w:r>
    </w:p>
    <w:p w:rsidR="00000000" w:rsidDel="00000000" w:rsidP="00000000" w:rsidRDefault="00000000" w:rsidRPr="00000000" w14:paraId="0000000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applicable) Credit Rating Threshold (as defined in Joint Schedule 7 (Financial Distress)) of the Key Subcontractor.</w:t>
      </w:r>
    </w:p>
    <w:p w:rsidR="00000000" w:rsidDel="00000000" w:rsidP="00000000" w:rsidRDefault="00000000" w:rsidRPr="00000000" w14:paraId="00000010">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requested by CCS and/or the Buyer, within ten (10) Working Days of receipt of the information provided by the Supplier pursuant to Paragraph 1.4, the Supplier shall also provide:</w:t>
      </w:r>
      <w:r w:rsidDel="00000000" w:rsidR="00000000" w:rsidRPr="00000000">
        <w:rPr>
          <w:rtl w:val="0"/>
        </w:rPr>
      </w:r>
    </w:p>
    <w:p w:rsidR="00000000" w:rsidDel="00000000" w:rsidP="00000000" w:rsidRDefault="00000000" w:rsidRPr="00000000" w14:paraId="0000001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copy of the proposed Key Sub-Contract; and </w:t>
      </w:r>
    </w:p>
    <w:p w:rsidR="00000000" w:rsidDel="00000000" w:rsidP="00000000" w:rsidRDefault="00000000" w:rsidRPr="00000000" w14:paraId="0000001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further information reasonably requested by CCS and/or the Buyer.</w:t>
      </w:r>
    </w:p>
    <w:p w:rsidR="00000000" w:rsidDel="00000000" w:rsidP="00000000" w:rsidRDefault="00000000" w:rsidRPr="00000000" w14:paraId="00000013">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each new or replacement Key Sub-Contract shall include: </w:t>
      </w:r>
      <w:r w:rsidDel="00000000" w:rsidR="00000000" w:rsidRPr="00000000">
        <w:rPr>
          <w:rtl w:val="0"/>
        </w:rPr>
      </w:r>
    </w:p>
    <w:p w:rsidR="00000000" w:rsidDel="00000000" w:rsidP="00000000" w:rsidRDefault="00000000" w:rsidRPr="00000000" w14:paraId="0000001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which will enable the Supplier to discharge its obligations under the Contracts;</w:t>
      </w:r>
    </w:p>
    <w:p w:rsidR="00000000" w:rsidDel="00000000" w:rsidP="00000000" w:rsidRDefault="00000000" w:rsidRPr="00000000" w14:paraId="0000001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right under CRTPA for CCS and the Buyer to enforce any provisions under the Key Sub-Contract which confer a benefit upon CCS and the Buyer respectively;</w:t>
      </w:r>
    </w:p>
    <w:p w:rsidR="00000000" w:rsidDel="00000000" w:rsidP="00000000" w:rsidRDefault="00000000" w:rsidRPr="00000000" w14:paraId="0000001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CCS and the Buyer to enforce the Key Sub-Contract as if it were the Supplier; </w:t>
      </w:r>
    </w:p>
    <w:p w:rsidR="00000000" w:rsidDel="00000000" w:rsidP="00000000" w:rsidRDefault="00000000" w:rsidRPr="00000000" w14:paraId="0000001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the Supplier to assign, novate or otherwise transfer any of its rights and/or obligations under the Key Sub-Contract to CCS and/or the Buyer; </w:t>
      </w:r>
    </w:p>
    <w:p w:rsidR="00000000" w:rsidDel="00000000" w:rsidP="00000000" w:rsidRDefault="00000000" w:rsidRPr="00000000" w14:paraId="0000001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obligations no less onerous on the Key Subcontractor than those imposed on the Supplier under the DPS Contract in respect of:</w:t>
      </w:r>
    </w:p>
    <w:p w:rsidR="00000000" w:rsidDel="00000000" w:rsidP="00000000" w:rsidRDefault="00000000" w:rsidRPr="00000000" w14:paraId="00000019">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data protection requirements set out in Clause 14 (Data protection);</w:t>
      </w:r>
    </w:p>
    <w:p w:rsidR="00000000" w:rsidDel="00000000" w:rsidP="00000000" w:rsidRDefault="00000000" w:rsidRPr="00000000" w14:paraId="0000001A">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FOIA and other access request requirements set out in Clause 16 (When you can share information);</w:t>
      </w:r>
    </w:p>
    <w:p w:rsidR="00000000" w:rsidDel="00000000" w:rsidP="00000000" w:rsidRDefault="00000000" w:rsidRPr="00000000" w14:paraId="0000001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not to embarrass CCS or the Buyer or otherwise bring CCS or the Buyer into disrepute; </w:t>
      </w:r>
    </w:p>
    <w:p w:rsidR="00000000" w:rsidDel="00000000" w:rsidP="00000000" w:rsidRDefault="00000000" w:rsidRPr="00000000" w14:paraId="0000001C">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keeping of records in respect of the goods and/or services being provided under the Key Sub-Contract, including the maintenance of Open Book Data; and</w:t>
      </w:r>
    </w:p>
    <w:p w:rsidR="00000000" w:rsidDel="00000000" w:rsidP="00000000" w:rsidRDefault="00000000" w:rsidRPr="00000000" w14:paraId="0000001D">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conduct of audits set out in Clause 6 (Record keeping and reporting);</w:t>
      </w:r>
    </w:p>
    <w:p w:rsidR="00000000" w:rsidDel="00000000" w:rsidP="00000000" w:rsidRDefault="00000000" w:rsidRPr="00000000" w14:paraId="0000001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w:t>
      </w:r>
    </w:p>
    <w:p w:rsidR="00000000" w:rsidDel="00000000" w:rsidP="00000000" w:rsidRDefault="00000000" w:rsidRPr="00000000" w14:paraId="0000001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restricting the ability of the Key Subcontractor to sub-contract all or any part of the provision of the Deliverables provided to the Supplier under the Key Sub-Contract without first seeking the written consent of CCS and the Buyer. </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13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6">
    <w:pPr>
      <w:tabs>
        <w:tab w:val="center" w:pos="4513"/>
        <w:tab w:val="right" w:pos="9026"/>
      </w:tabs>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w:t>
      <w:tab/>
      <w:t xml:space="preserve">                                           </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29">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RM61</w:t>
    </w:r>
    <w:r w:rsidDel="00000000" w:rsidR="00000000" w:rsidRPr="00000000">
      <w:rPr>
        <w:rFonts w:ascii="Arial" w:cs="Arial" w:eastAsia="Arial" w:hAnsi="Arial"/>
        <w:color w:val="000000"/>
        <w:sz w:val="20"/>
        <w:szCs w:val="20"/>
        <w:rtl w:val="0"/>
      </w:rPr>
      <w:t xml:space="preserve">20 Leasing and Loans Finance </w:t>
    </w:r>
    <w:r w:rsidDel="00000000" w:rsidR="00000000" w:rsidRPr="00000000">
      <w:rPr>
        <w:rFonts w:ascii="Arial" w:cs="Arial" w:eastAsia="Arial" w:hAnsi="Arial"/>
        <w:sz w:val="20"/>
        <w:szCs w:val="20"/>
        <w:rtl w:val="0"/>
      </w:rPr>
      <w:t xml:space="preserve">DPS</w:t>
      <w:tab/>
      <w:t xml:space="preserve">                                           </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C">
    <w:pPr>
      <w:spacing w:after="0" w:line="240" w:lineRule="auto"/>
      <w:jc w:val="both"/>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v1.1</w:t>
      <w:tab/>
    </w:r>
    <w:r w:rsidDel="00000000" w:rsidR="00000000" w:rsidRPr="00000000">
      <w:rPr>
        <w:rFonts w:ascii="Arial" w:cs="Arial" w:eastAsia="Arial" w:hAnsi="Arial"/>
        <w:color w:val="bfbfbf"/>
        <w:sz w:val="20"/>
        <w:szCs w:val="20"/>
        <w:rtl w:val="0"/>
      </w:rPr>
      <w:tab/>
      <w:tab/>
    </w:r>
    <w:bookmarkStart w:colFirst="0" w:colLast="0" w:name="bookmark=id.3dy6vkm" w:id="6"/>
    <w:bookmarkEnd w:id="6"/>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6 (Key Subcontractors)</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3Guidance" w:customStyle="1">
    <w:name w:val="GPS L3 Guidance"/>
    <w:basedOn w:val="Normal"/>
    <w:link w:val="GPSL3GuidanceChar"/>
    <w:qFormat w:val="1"/>
    <w:pPr>
      <w:tabs>
        <w:tab w:val="left" w:pos="1985"/>
      </w:tabs>
      <w:adjustRightInd w:val="0"/>
      <w:spacing w:after="120" w:before="120" w:line="240" w:lineRule="auto"/>
      <w:ind w:left="1985"/>
      <w:jc w:val="both"/>
    </w:pPr>
    <w:rPr>
      <w:rFonts w:ascii="Calibri" w:cs="Arial" w:eastAsia="Times New Roman" w:hAnsi="Calibri"/>
      <w:b w:val="1"/>
      <w:i w:val="1"/>
      <w:lang w:eastAsia="zh-CN"/>
    </w:rPr>
  </w:style>
  <w:style w:type="paragraph" w:styleId="GPSL1Schedulenumbered" w:customStyle="1">
    <w:name w:val="GPS L1 Schedule numbered"/>
    <w:basedOn w:val="Normal"/>
    <w:link w:val="GPSL1SchedulenumberedChar1"/>
    <w:qFormat w:val="1"/>
    <w:pPr>
      <w:numPr>
        <w:numId w:val="1"/>
      </w:numPr>
      <w:tabs>
        <w:tab w:val="left" w:pos="851"/>
      </w:tabs>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GPSL1SchedulenumberedChar1" w:customStyle="1">
    <w:name w:val="GPS L1 Schedule numbered Char1"/>
    <w:link w:val="GPSL1Schedulenumbered"/>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GPSL1CLAUSEHEADING" w:customStyle="1">
    <w:name w:val="GPS L1 CLAUSE HEADING"/>
    <w:basedOn w:val="Normal"/>
    <w:next w:val="Normal"/>
    <w:qFormat w:val="1"/>
    <w:pPr>
      <w:numPr>
        <w:numId w:val="3"/>
      </w:numPr>
      <w:tabs>
        <w:tab w:val="left" w:pos="142"/>
      </w:tabs>
      <w:adjustRightInd w:val="0"/>
      <w:spacing w:after="240" w:before="120" w:line="240" w:lineRule="auto"/>
      <w:jc w:val="both"/>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numPr>
        <w:ilvl w:val="2"/>
        <w:numId w:val="3"/>
      </w:numPr>
      <w:tabs>
        <w:tab w:val="left" w:pos="1985"/>
      </w:tabs>
      <w:adjustRightInd w:val="0"/>
      <w:spacing w:after="120" w:before="120" w:line="240" w:lineRule="auto"/>
      <w:jc w:val="both"/>
    </w:pPr>
    <w:rPr>
      <w:rFonts w:ascii="Calibri" w:cs="Arial" w:eastAsia="Times New Roman" w:hAnsi="Calibri"/>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2NumberedBoldHeading" w:customStyle="1">
    <w:name w:val="GPS L2 Numbered Bold Heading"/>
    <w:basedOn w:val="Normal"/>
    <w:link w:val="GPSL2NumberedBoldHeadingChar"/>
    <w:qFormat w:val="1"/>
    <w:pPr>
      <w:numPr>
        <w:ilvl w:val="1"/>
        <w:numId w:val="3"/>
      </w:numPr>
      <w:adjustRightInd w:val="0"/>
      <w:spacing w:after="120" w:before="120" w:line="240" w:lineRule="auto"/>
      <w:ind w:left="936" w:hanging="576"/>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legds2" w:customStyle="1">
    <w:name w:val="legds2"/>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numberedclause" w:customStyle="1">
    <w:name w:val="GPS L2 numbered clause"/>
    <w:basedOn w:val="Normal"/>
    <w:qFormat w:val="1"/>
    <w:pPr>
      <w:tabs>
        <w:tab w:val="left" w:pos="1134"/>
      </w:tabs>
      <w:adjustRightInd w:val="0"/>
      <w:spacing w:after="120" w:before="120" w:line="240" w:lineRule="auto"/>
      <w:ind w:left="1134" w:hanging="567"/>
      <w:jc w:val="both"/>
    </w:pPr>
    <w:rPr>
      <w:rFonts w:ascii="Calibri" w:cs="Arial" w:eastAsia="Times New Roman" w:hAnsi="Calibri"/>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1" w:customStyle="1">
    <w:name w:val="Table Grid1"/>
    <w:basedOn w:val="TableNormal"/>
    <w:next w:val="TableGrid"/>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bwohx87YHV4Oxt0NEBoWXhlpGBg==">AMUW2mWEIx/aj/c/GLNoIQYRJfaFD78GwAKrZGNpTkgo3KhQZ3OaPboJSpNVZz1VOtwLs/6sGudO/bALprPxxlqcuNZCHOo9rrEvvNsz2Y2WJd1RcfkQgtveOWHB6i26aCb/JqipkfTYERwjkKzRrYTCH0G0Hz6qAMfRmqhnTdICsI6wdvnBheB6i9z2HUGD3ElM4aLDfGyCUkC8EZS5FmM+ew6fnex65w==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2019-08-12T10:28:00Z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